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D1EB7" w14:textId="77777777" w:rsidR="007C7FEB" w:rsidRPr="00135FFB" w:rsidRDefault="0000193A" w:rsidP="00135FFB">
      <w:pPr>
        <w:pStyle w:val="Ttulo"/>
      </w:pPr>
      <w:r>
        <w:t>Numerical analysis of the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D0BE2DB" w14:textId="77777777" w:rsidR="00D04CA2" w:rsidRDefault="00D04CA2" w:rsidP="00D04CA2">
      <w:pPr>
        <w:pStyle w:val="Abstract"/>
      </w:pPr>
      <w:bookmarkStart w:id="0" w:name="introduction"/>
      <w:r w:rsidRPr="00D04CA2">
        <w:t xml:space="preserve">Resorting to a three-dimensional finite element framework, the paper investigates the instantaneous and long-term deformation in twin tunnels with connecting transverse gallery. </w:t>
      </w:r>
      <w:proofErr w:type="gramStart"/>
      <w:r w:rsidRPr="00D04CA2">
        <w:t>Particular emphasis</w:t>
      </w:r>
      <w:proofErr w:type="gramEnd"/>
      <w:r w:rsidRPr="00D04CA2">
        <w:t xml:space="preserve"> is dedicated to the assessment of combined effects induced by time-dependent behavior of the material constituents, twin tunnels proximity and tunnel junctions on the convergence profile. At the material level, the rock mechanical behavior is formulated within the context of coupled plasticity–</w:t>
      </w:r>
      <w:proofErr w:type="spellStart"/>
      <w:r w:rsidRPr="00D04CA2">
        <w:t>viscoplasticity</w:t>
      </w:r>
      <w:proofErr w:type="spellEnd"/>
      <w:r w:rsidRPr="00D04CA2">
        <w:t xml:space="preserve">, which proves relevant for modeling and simulation of tunnel deformation in deep clayey rocks.  As regards the time-dependent properties of the lining concrete, the concrete creep deformation is addressed by means of an aging viscoelastic model relying on the Bažant and </w:t>
      </w:r>
      <w:proofErr w:type="spellStart"/>
      <w:r w:rsidRPr="00D04CA2">
        <w:t>Prasannan</w:t>
      </w:r>
      <w:proofErr w:type="spellEnd"/>
      <w:r w:rsidRPr="00D04CA2">
        <w:t xml:space="preserve"> Solidification Theory, whereas shrinkage deformation component is based on the formulation proposed in CEB-FIP MC90 standard. At the structure level, the deactivation-activation technique is employed in the three-dimensional finite element model to simulate the excavation/advancing face and lining installation processes. The accuracy of the approach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framework, providing preliminary insight into the multiple interactions arising from twin tunnel proximity, intersecting transverse gallery and lining support. The numerical simulations have notably emphasized the deformation anisotropy induced by tunnels </w:t>
      </w:r>
      <w:proofErr w:type="gramStart"/>
      <w:r w:rsidRPr="00D04CA2">
        <w:t>proximity,</w:t>
      </w:r>
      <w:proofErr w:type="gramEnd"/>
      <w:r w:rsidRPr="00D04CA2">
        <w:t xml:space="preserve"> the peak convergence values observed at tunnel-gallery junction as well as the crucial role of time-dependent properties of concrete lining in controlling the tunnel deformation.</w:t>
      </w:r>
    </w:p>
    <w:p w14:paraId="21B6CB2C" w14:textId="617B0DE0"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lastRenderedPageBreak/>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the construction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lastRenderedPageBreak/>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5ACF6597" w:rsidR="007C7FEB" w:rsidRDefault="0000193A" w:rsidP="00B432B0">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Creep behavior of the lining material, typically shotcrete, is described by means of an aging viscoelastic model that notably accounts for the properties at early age. At the tunnel structure level, the constitutive modeling and related as well as the related numerical integration schemes are developed and implemented within a specific UPF/USERMAT procedure of ANSYS standard software (</w:t>
      </w:r>
      <w:r w:rsidR="00005E2D" w:rsidRPr="00005E2D">
        <w:rPr>
          <w:color w:val="FF0000"/>
        </w:rPr>
        <w:t>ANSYS 201</w:t>
      </w:r>
      <w:r w:rsidR="00C161EC">
        <w:rPr>
          <w:color w:val="FF0000"/>
        </w:rPr>
        <w:t>8</w:t>
      </w:r>
      <w:r>
        <w:t xml:space="preserve">). The finite element modeling developed in this paper can be viewed as specifically devised tool for addressing the three-dimensional interaction induced by the construction process of </w:t>
      </w:r>
      <w:proofErr w:type="gramStart"/>
      <w:r>
        <w:t>closely-spaced</w:t>
      </w:r>
      <w:proofErr w:type="gramEnd"/>
      <w:r>
        <w:t xml:space="preserve"> twin tunnels with transverse gallery junction. The last part of the paper provides several numerical simulations that illustrate the ability to deal with such a problem in highly complex setting and to provide preliminary insight into the involved interactions.</w:t>
      </w:r>
    </w:p>
    <w:p w14:paraId="6E7D1EC7" w14:textId="63DC6101" w:rsidR="007C7FEB" w:rsidRDefault="00F227D2" w:rsidP="00FE5338">
      <w:pPr>
        <w:pStyle w:val="Ttulo1"/>
      </w:pPr>
      <w:bookmarkStart w:id="1" w:name="section_assumptions"/>
      <w:bookmarkEnd w:id="0"/>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03364ECB"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Clearly enough, the framework of continuum modeling adopted in the paper would reveal questionable when the rock mass is cut by a few macroscale fracture joints.</w:t>
      </w:r>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77777777" w:rsidR="007C7FEB" w:rsidRDefault="0000193A" w:rsidP="00B432B0">
      <w:pPr>
        <w:pStyle w:val="Alinea"/>
      </w:pPr>
      <w:r>
        <w:t>The simulation excavation processes are curried out assuming a constant tunnel advancement rate (i.e., constant excavation speed), together with a constant thickness of concrete lining.</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77777777" w:rsidR="007C7FEB" w:rsidRDefault="0000193A" w:rsidP="00B432B0">
      <w:pPr>
        <w:pStyle w:val="Alinea"/>
      </w:pPr>
      <w:r>
        <w:t>Perfect bonding is assumed at the interface between concrete lining and the rock mass.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shall not be considered in the numerical analysis.</w:t>
      </w:r>
    </w:p>
    <w:p w14:paraId="6E7D1ED2" w14:textId="5B247B03" w:rsidR="007C7FEB" w:rsidRDefault="00F227D2" w:rsidP="00FE5338">
      <w:pPr>
        <w:pStyle w:val="Ttulo1"/>
      </w:pPr>
      <w:bookmarkStart w:id="2" w:name="sec3"/>
      <w:bookmarkEnd w:id="1"/>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D82E49"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3"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3"/>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w:t>
            </w:r>
            <w:r>
              <w:t>2</w:t>
            </w:r>
            <w:r>
              <w:t>)</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A95999"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w:t>
            </w:r>
            <w:r>
              <w:t>3</w:t>
            </w:r>
            <w:r>
              <w:t>)</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4C0B18" w:rsidP="004C0B18">
            <w:pPr>
              <w:pStyle w:val="Corpodetexto"/>
              <w:jc w:val="center"/>
            </w:pPr>
            <m:oMathPara>
              <m:oMath>
                <m:sSup>
                  <m:sSupPr>
                    <m:ctrlPr>
                      <w:rPr>
                        <w:rFonts w:ascii="Cambria Math"/>
                        <w:i/>
                      </w:rPr>
                    </m:ctrlPr>
                  </m:sSupPr>
                  <m:e>
                    <m:limUpp>
                      <m:limUppPr>
                        <m:ctrlPr>
                          <w:rPr>
                            <w:rFonts w:asci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i/>
                      </w:rPr>
                    </m:ctrlPr>
                  </m:dPr>
                  <m:e>
                    <m:m>
                      <m:mPr>
                        <m:mcs>
                          <m:mc>
                            <m:mcPr>
                              <m:count m:val="2"/>
                              <m:mcJc m:val="center"/>
                            </m:mcPr>
                          </m:mc>
                        </m:mcs>
                        <m:ctrlPr>
                          <w:rPr>
                            <w:rFonts w:ascii="Cambria Math"/>
                            <w:i/>
                          </w:rPr>
                        </m:ctrlPr>
                      </m:mPr>
                      <m:mr>
                        <m:e>
                          <m:acc>
                            <m:accPr>
                              <m:chr m:val="̇"/>
                              <m:ctrlPr>
                                <w:rPr>
                                  <w:rFonts w:ascii="Cambria Math"/>
                                  <w:i/>
                                </w:rPr>
                              </m:ctrlPr>
                            </m:accPr>
                            <m:e>
                              <m:r>
                                <w:rPr>
                                  <w:rFonts w:ascii="Cambria Math"/>
                                </w:rPr>
                                <m:t>λ</m:t>
                              </m:r>
                            </m:e>
                          </m:acc>
                          <m:f>
                            <m:fPr>
                              <m:ctrlPr>
                                <w:rPr>
                                  <w:rFonts w:ascii="Cambria Math" w:hAnsi="Cambria Math"/>
                                  <w:i/>
                                </w:rPr>
                              </m:ctrlPr>
                            </m:fPr>
                            <m:num>
                              <m:r>
                                <w:rPr>
                                  <w:rFonts w:ascii="Cambria Math"/>
                                </w:rPr>
                                <m:t>∂</m:t>
                              </m:r>
                              <m:r>
                                <w:rPr>
                                  <w:rFonts w:ascii="Cambria Math"/>
                                </w:rPr>
                                <m:t>g</m:t>
                              </m:r>
                              <m:ctrlPr>
                                <w:rPr>
                                  <w:rFonts w:ascii="Cambria Math"/>
                                  <w:i/>
                                </w:rPr>
                              </m:ctrlPr>
                            </m:num>
                            <m:den>
                              <m:r>
                                <w:rPr>
                                  <w:rFonts w:ascii="Cambria Math"/>
                                </w:rPr>
                                <m:t>∂</m:t>
                              </m:r>
                              <m:r>
                                <m:rPr>
                                  <m:sty m:val="bi"/>
                                </m:rPr>
                                <w:rPr>
                                  <w:rFonts w:ascii="Cambria Math"/>
                                </w:rPr>
                                <m:t>σ</m:t>
                              </m:r>
                              <m:ctrlPr>
                                <w:rPr>
                                  <w:rFonts w:ascii="Cambria Math"/>
                                  <w:i/>
                                </w:rPr>
                              </m:ctrlPr>
                            </m:den>
                          </m:f>
                          <m:ctrlPr>
                            <w:rPr>
                              <w:rFonts w:ascii="Cambria Math"/>
                            </w:rPr>
                          </m:ctrlPr>
                        </m:e>
                        <m:e>
                          <m:r>
                            <m:rPr>
                              <m:nor/>
                            </m:rPr>
                            <w:rPr>
                              <w:rFonts w:ascii="Cambria Math"/>
                            </w:rPr>
                            <m:t xml:space="preserve">for </m:t>
                          </m:r>
                          <m:r>
                            <w:rPr>
                              <w:rFonts w:ascii="Cambria Math"/>
                            </w:rPr>
                            <m:t>f</m:t>
                          </m:r>
                          <m:r>
                            <m:rPr>
                              <m:sty m:val="p"/>
                            </m:rPr>
                            <w:rPr>
                              <w:rFonts w:ascii="Cambria Math"/>
                            </w:rPr>
                            <m:t>&gt;0</m:t>
                          </m:r>
                          <m:ctrlPr>
                            <w:rPr>
                              <w:rFonts w:asci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rPr>
                          </m:ctrlPr>
                        </m:e>
                      </m:mr>
                    </m:m>
                    <m:ctrlPr>
                      <w:rPr>
                        <w:rFonts w:ascii="Cambria Math" w:hAnsi="Cambria Math"/>
                        <w:i/>
                      </w:rPr>
                    </m:ctrlPr>
                  </m:e>
                </m:d>
              </m:oMath>
            </m:oMathPara>
          </w:p>
        </w:tc>
        <w:tc>
          <w:tcPr>
            <w:tcW w:w="753" w:type="dxa"/>
            <w:vAlign w:val="center"/>
          </w:tcPr>
          <w:p w14:paraId="46A0A0A6" w14:textId="60612B8D" w:rsidR="004C0B18" w:rsidRDefault="004C0B18" w:rsidP="004C0B18">
            <w:pPr>
              <w:pStyle w:val="Corpodetexto"/>
              <w:jc w:val="right"/>
            </w:pPr>
            <w:r>
              <w:t>(</w:t>
            </w:r>
            <w:r>
              <w:t>4</w:t>
            </w:r>
            <w:r>
              <w:t>)</w:t>
            </w:r>
          </w:p>
        </w:tc>
      </w:tr>
    </w:tbl>
    <w:p w14:paraId="6E7D1EDF" w14:textId="6EC43350" w:rsidR="007C7FEB" w:rsidRDefault="0000193A" w:rsidP="00B432B0">
      <w:pPr>
        <w:pStyle w:val="FirstParagraph"/>
      </w:pPr>
      <w:bookmarkStart w:id="4" w:name="DSIEqnMarkerStart"/>
      <w:bookmarkStart w:id="5" w:name="DSIEqnMarkerEnd"/>
      <w:bookmarkEnd w:id="4"/>
      <w:bookmarkEnd w:id="5"/>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623063"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w:t>
            </w:r>
            <w:r>
              <w:t>5</w:t>
            </w:r>
            <w:r>
              <w:t>)</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F75DE6"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w:t>
            </w:r>
            <w:r>
              <w:t>6</w:t>
            </w:r>
            <w:r>
              <w:t>)</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6"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7" w:name="sec4"/>
      <w:bookmarkEnd w:id="2"/>
      <w:bookmarkEnd w:id="6"/>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8"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8"/>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F75DE6"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w:t>
            </w:r>
            <w:r>
              <w:t>7</w:t>
            </w:r>
            <w:r>
              <w:t>)</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w:t>
            </w:r>
            <w:r>
              <w:t>8</w:t>
            </w:r>
            <w:r>
              <w:t>)</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w:t>
            </w:r>
            <w:r>
              <w:t>9</w:t>
            </w:r>
            <w:r>
              <w:t>)</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DC30EF"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w:t>
            </w:r>
            <w:r>
              <w:t>10</w:t>
            </w:r>
            <w:r>
              <w:t>)</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9" w:name="section_spatial"/>
      <w:bookmarkEnd w:id="7"/>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0"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0"/>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DC30EF"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w:t>
            </w:r>
            <w:r>
              <w:t>1</w:t>
            </w:r>
            <w:r>
              <w:t>)</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6E7D1EFD" w14:textId="59519E11" w:rsidR="007C7FEB"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1"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1"/>
    <w:p w14:paraId="6E7D1F00" w14:textId="487AB90E" w:rsidR="007C7FEB" w:rsidRDefault="0000193A" w:rsidP="00B432B0">
      <w:pPr>
        <w:pStyle w:val="Corpodetexto"/>
      </w:pPr>
      <w:r w:rsidRPr="004B50E3">
        <w:rPr>
          <w:color w:val="4EA72E" w:themeColor="accent6"/>
        </w:rPr>
        <w:t>Figures</w:t>
      </w:r>
      <w:r w:rsidR="004B50E3" w:rsidRPr="004B50E3">
        <w:rPr>
          <w:color w:val="4EA72E" w:themeColor="accent6"/>
        </w:rPr>
        <w:t xml:space="preserve"> 6</w:t>
      </w:r>
      <w:r w:rsidR="004B50E3">
        <w:t xml:space="preserve"> </w:t>
      </w:r>
      <w:r>
        <w:t xml:space="preserve">to </w:t>
      </w:r>
      <w:r w:rsidR="004B50E3" w:rsidRPr="004B50E3">
        <w:rPr>
          <w:color w:val="4EA72E" w:themeColor="accent6"/>
        </w:rPr>
        <w:t>10</w:t>
      </w:r>
      <w:r>
        <w:t xml:space="preserve"> display some details regarding the geometry and F.E discretization of the structure. </w:t>
      </w:r>
      <w:r w:rsidRPr="004B50E3">
        <w:rPr>
          <w:color w:val="4EA72E" w:themeColor="accent6"/>
        </w:rPr>
        <w:t>Fig.</w:t>
      </w:r>
      <w:r w:rsidR="004B50E3" w:rsidRPr="004B50E3">
        <w:rPr>
          <w:color w:val="4EA72E" w:themeColor="accent6"/>
        </w:rPr>
        <w:t xml:space="preserve"> 6</w:t>
      </w:r>
      <w:r>
        <w:t xml:space="preserve"> presents some details of the longitudinal tunnel cross-section in a </w:t>
      </w:r>
      <m:oMath>
        <m:r>
          <w:rPr>
            <w:rFonts w:ascii="Cambria Math" w:hAnsi="Cambria Math"/>
          </w:rPr>
          <m:t>xy</m:t>
        </m:r>
      </m:oMath>
      <w:r>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2"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2"/>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3"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4" w:name="Mesh4"/>
      <w:bookmarkEnd w:id="13"/>
      <w:r>
        <w:rPr>
          <w:noProof/>
        </w:rPr>
        <w:lastRenderedPageBreak/>
        <w:drawing>
          <wp:inline distT="0" distB="0" distL="0" distR="0" wp14:anchorId="2FA46897" wp14:editId="72A56BA2">
            <wp:extent cx="4288856" cy="3839978"/>
            <wp:effectExtent l="0" t="0" r="0" b="825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294419" cy="3844959"/>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5" w:name="Mesh5"/>
      <w:bookmarkEnd w:id="14"/>
      <w:r>
        <w:rPr>
          <w:noProof/>
        </w:rPr>
        <w:lastRenderedPageBreak/>
        <w:drawing>
          <wp:inline distT="0" distB="0" distL="0" distR="0" wp14:anchorId="514AF244" wp14:editId="58A95A23">
            <wp:extent cx="4255770" cy="3970222"/>
            <wp:effectExtent l="0" t="0" r="0" b="0"/>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4258457" cy="3972729"/>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A" w14:textId="5C90FBB9" w:rsidR="007C7FEB" w:rsidRDefault="0000193A" w:rsidP="00B432B0">
      <w:pPr>
        <w:pStyle w:val="Corpodetexto"/>
      </w:pPr>
      <w:r>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6" w:name="Mesh6"/>
      <w:r>
        <w:rPr>
          <w:noProof/>
        </w:rPr>
        <w:lastRenderedPageBreak/>
        <w:drawing>
          <wp:inline distT="0" distB="0" distL="0" distR="0" wp14:anchorId="21A7A110" wp14:editId="3E59A845">
            <wp:extent cx="3701134" cy="4021078"/>
            <wp:effectExtent l="0" t="0" r="0"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705331" cy="4025638"/>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6"/>
    <w:p w14:paraId="6E7D1F0D" w14:textId="77777777" w:rsidR="007C7FEB" w:rsidRDefault="0000193A" w:rsidP="00B432B0">
      <w:pPr>
        <w:pStyle w:val="Corpodetexto"/>
      </w:pPr>
      <w:r>
        <w:t xml:space="preserve">As mentioned previously, the tunnelling process, including the excavation steps and lining installation, is simulated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6E7D1F0E" w14:textId="3D7D625E" w:rsidR="007C7FEB" w:rsidRDefault="0000193A" w:rsidP="00B432B0">
      <w:pPr>
        <w:pStyle w:val="Corpodetexto"/>
      </w:pPr>
      <w:r>
        <w:t xml:space="preserve">For the sake of clearness, the main parameters defining the geometry domain as well as and excavation process and lining installation are summarized in </w:t>
      </w:r>
      <w:r w:rsidRPr="007E0815">
        <w:rPr>
          <w:color w:val="4EA72E" w:themeColor="accent6"/>
        </w:rPr>
        <w:t>Table</w:t>
      </w:r>
      <w:r w:rsidR="007E0815" w:rsidRPr="007E0815">
        <w:rPr>
          <w:color w:val="4EA72E" w:themeColor="accent6"/>
        </w:rPr>
        <w:t xml:space="preserve"> 1</w:t>
      </w:r>
      <w:r>
        <w:t>.</w:t>
      </w:r>
    </w:p>
    <w:p w14:paraId="6E7D1F0F" w14:textId="126D8E9A" w:rsidR="007C7FEB" w:rsidRDefault="00066D79" w:rsidP="00CD2CFE">
      <w:pPr>
        <w:pStyle w:val="CaptionedFigure"/>
      </w:pPr>
      <w:bookmarkStart w:id="17" w:name="Diagram_of_excavations"/>
      <w:r>
        <w:rPr>
          <w:noProof/>
        </w:rPr>
        <w:lastRenderedPageBreak/>
        <w:drawing>
          <wp:inline distT="0" distB="0" distL="0" distR="0" wp14:anchorId="10046EA8" wp14:editId="26CFC7E8">
            <wp:extent cx="5454856" cy="2561794"/>
            <wp:effectExtent l="0" t="0" r="0" b="0"/>
            <wp:docPr id="22368503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5039" name="Imagem 223685039"/>
                    <pic:cNvPicPr/>
                  </pic:nvPicPr>
                  <pic:blipFill>
                    <a:blip r:embed="rId28"/>
                    <a:stretch>
                      <a:fillRect/>
                    </a:stretch>
                  </pic:blipFill>
                  <pic:spPr>
                    <a:xfrm>
                      <a:off x="0" y="0"/>
                      <a:ext cx="5478689" cy="2572987"/>
                    </a:xfrm>
                    <a:prstGeom prst="rect">
                      <a:avLst/>
                    </a:prstGeom>
                  </pic:spPr>
                </pic:pic>
              </a:graphicData>
            </a:graphic>
          </wp:inline>
        </w:drawing>
      </w:r>
    </w:p>
    <w:p w14:paraId="6E7D1F10" w14:textId="56E4DF0F" w:rsidR="007C7FEB" w:rsidRDefault="002820EE" w:rsidP="00421C12">
      <w:pPr>
        <w:pStyle w:val="ImageCaption"/>
      </w:pPr>
      <w:r w:rsidRPr="00D623B4">
        <w:rPr>
          <w:b/>
          <w:bCs/>
        </w:rPr>
        <w:t>Fig. 11</w:t>
      </w:r>
      <w:r>
        <w:t xml:space="preserve"> Schematic representation of the excavation process.</w:t>
      </w:r>
    </w:p>
    <w:p w14:paraId="6E7D1F11" w14:textId="1D930CEC" w:rsidR="007C7FEB" w:rsidRPr="00743E51" w:rsidRDefault="007E0815" w:rsidP="00743E51">
      <w:pPr>
        <w:pStyle w:val="TableCaption"/>
      </w:pPr>
      <w:bookmarkStart w:id="18" w:name="table1"/>
      <w:bookmarkEnd w:id="17"/>
      <w:r>
        <w:t xml:space="preserve">Table 1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CE2744"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CE2744"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CE2744"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CE2744"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CE2744"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CE2744"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CE2744"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CE2744"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CE2744"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CE2744"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CE2744"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CE2744"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CE2744"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CE2744"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CE2744"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CE2744"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CE2744"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CE2744"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CE2744"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18"/>
    <w:p w14:paraId="6E7D1F73" w14:textId="5B415BC4" w:rsidR="007C7FEB" w:rsidRDefault="0000193A" w:rsidP="00A74501">
      <w:pPr>
        <w:pStyle w:val="Corpodetexto"/>
        <w:ind w:firstLine="720"/>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w:t>
      </w:r>
      <w:proofErr w:type="spellStart"/>
      <w:r>
        <w:t>teristic</w:t>
      </w:r>
      <w:proofErr w:type="spellEnd"/>
      <w:r>
        <w:t xml:space="preserve">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19" w:name="sec6"/>
      <w:bookmarkEnd w:id="9"/>
      <w:r>
        <w:t xml:space="preserve">6 </w:t>
      </w:r>
      <w:r w:rsidR="0000193A">
        <w:t>Preliminary numerical simulations and computational model verification</w:t>
      </w:r>
    </w:p>
    <w:p w14:paraId="6E7D1F75" w14:textId="77777777" w:rsidR="007C7FEB" w:rsidRDefault="0000193A" w:rsidP="00A74501">
      <w:pPr>
        <w:pStyle w:val="FirstParagraph"/>
        <w:ind w:firstLine="720"/>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0"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w:t>
      </w:r>
      <w:proofErr w:type="gramStart"/>
      <w:r>
        <w:t>Young</w:t>
      </w:r>
      <w:proofErr w:type="gramEnd"/>
      <w:r>
        <w:t xml:space="preserve">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1"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1"/>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2"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2"/>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3"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3"/>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4"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4"/>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5"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5"/>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6" w:name="X1e630c712d82c731a6e7d4876a9bab2ff63f484"/>
      <w:bookmarkEnd w:id="20"/>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27"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7"/>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28"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28"/>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p w14:paraId="6E7D1F93" w14:textId="7D188AA9" w:rsidR="007C7FEB" w:rsidRDefault="009C4A7E" w:rsidP="00CD2CFE">
      <w:pPr>
        <w:pStyle w:val="CaptionedFigure"/>
      </w:pPr>
      <w:bookmarkStart w:id="29" w:name="MA_FIG1"/>
      <w:r>
        <w:rPr>
          <w:noProof/>
        </w:rPr>
        <w:drawing>
          <wp:inline distT="0" distB="0" distL="0" distR="0" wp14:anchorId="318C70BA" wp14:editId="644441A4">
            <wp:extent cx="5400000" cy="3276782"/>
            <wp:effectExtent l="0" t="0" r="0" b="0"/>
            <wp:docPr id="186196403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036" name="Imagem 18619640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3276782"/>
                    </a:xfrm>
                    <a:prstGeom prst="rect">
                      <a:avLst/>
                    </a:prstGeom>
                  </pic:spPr>
                </pic:pic>
              </a:graphicData>
            </a:graphic>
          </wp:inline>
        </w:drawing>
      </w:r>
    </w:p>
    <w:p w14:paraId="6E7D1F94" w14:textId="31B4017B" w:rsidR="007C7FEB" w:rsidRDefault="002820EE" w:rsidP="00421C12">
      <w:pPr>
        <w:pStyle w:val="ImageCaption"/>
      </w:pPr>
      <w:r w:rsidRPr="00D623B4">
        <w:rPr>
          <w:b/>
          <w:bCs/>
        </w:rPr>
        <w:t>Fig. 19</w:t>
      </w:r>
      <w:r>
        <w:t xml:space="preserve"> The plastic zone extent obtained from the present F.E. simulations and from the stress solution provided in Ma et al. 2020</w:t>
      </w:r>
    </w:p>
    <w:bookmarkEnd w:id="29"/>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p w14:paraId="6E7D1F96" w14:textId="12F3DB02" w:rsidR="007C7FEB" w:rsidRDefault="00572A71" w:rsidP="00CD2CFE">
      <w:pPr>
        <w:pStyle w:val="CaptionedFigure"/>
      </w:pPr>
      <w:bookmarkStart w:id="30" w:name="MA_stresspaths"/>
      <w:r>
        <w:rPr>
          <w:noProof/>
        </w:rPr>
        <w:drawing>
          <wp:inline distT="0" distB="0" distL="0" distR="0" wp14:anchorId="3025944C" wp14:editId="361FA3D2">
            <wp:extent cx="4680000" cy="4820855"/>
            <wp:effectExtent l="0" t="0" r="3175" b="0"/>
            <wp:docPr id="1896658662" name="Imagem 64"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8662" name="Imagem 64" descr="Interface gráfica do usuário,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4820855"/>
                    </a:xfrm>
                    <a:prstGeom prst="rect">
                      <a:avLst/>
                    </a:prstGeom>
                  </pic:spPr>
                </pic:pic>
              </a:graphicData>
            </a:graphic>
          </wp:inline>
        </w:drawing>
      </w:r>
    </w:p>
    <w:p w14:paraId="6E7D1F97" w14:textId="1D5A2981" w:rsidR="007C7FEB" w:rsidRDefault="002820EE" w:rsidP="00421C12">
      <w:pPr>
        <w:pStyle w:val="ImageCaption"/>
      </w:pPr>
      <w:r w:rsidRPr="00D623B4">
        <w:rPr>
          <w:b/>
          <w:bCs/>
        </w:rPr>
        <w:t>Fig. 20</w:t>
      </w:r>
      <w:r>
        <w:t xml:space="preserve"> Distribution of radial and orthoradial stress components along different radial directions: comparison between numerical and analytical predictions.</w:t>
      </w:r>
    </w:p>
    <w:p w14:paraId="6E7D1F98" w14:textId="46E2860E" w:rsidR="007C7FEB" w:rsidRDefault="00F227D2" w:rsidP="00FE5338">
      <w:pPr>
        <w:pStyle w:val="Ttulo1"/>
      </w:pPr>
      <w:bookmarkStart w:id="31" w:name="sec7"/>
      <w:bookmarkEnd w:id="19"/>
      <w:bookmarkEnd w:id="26"/>
      <w:bookmarkEnd w:id="30"/>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2" w:name="sec71"/>
      <w:r>
        <w:lastRenderedPageBreak/>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w:t>
      </w:r>
      <w:proofErr w:type="spellStart"/>
      <w:r>
        <w:t>en</w:t>
      </w:r>
      <w:proofErr w:type="spellEnd"/>
      <w:r>
        <w:t xml:space="preserve">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3" w:name="table2"/>
      <w:r>
        <w:t xml:space="preserve">Table 2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CE2744"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CE2744"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CE2744"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CE2744"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CE2744"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CE2744"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CE2744"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CE2744"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lastRenderedPageBreak/>
              <w:t>Notional size of member - longitudinal concrete lining</w:t>
            </w:r>
          </w:p>
        </w:tc>
        <w:tc>
          <w:tcPr>
            <w:tcW w:w="0" w:type="auto"/>
          </w:tcPr>
          <w:p w14:paraId="6E7D1FEE" w14:textId="77777777" w:rsidR="007C7FEB" w:rsidRDefault="00CE2744"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CE2744"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CE2744"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t>Shrinkage coefficient depending on cement type (</w:t>
            </w:r>
            <w:r w:rsidRPr="006D0164">
              <w:rPr>
                <w:color w:val="FF0000"/>
              </w:rPr>
              <w:t>1993</w:t>
            </w:r>
            <w:r>
              <w:t>)</w:t>
            </w:r>
          </w:p>
        </w:tc>
        <w:tc>
          <w:tcPr>
            <w:tcW w:w="0" w:type="auto"/>
          </w:tcPr>
          <w:p w14:paraId="6E7D1FFD" w14:textId="77777777" w:rsidR="007C7FEB" w:rsidRDefault="00CE2744"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CE2744"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CE2744"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3"/>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4" w:name="table3"/>
      <w:r>
        <w:t xml:space="preserve">Table 3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4"/>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w:t>
      </w:r>
      <w:r>
        <w:lastRenderedPageBreak/>
        <w:t xml:space="preserve">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5"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5"/>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6"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37" w:name="sec72"/>
      <w:bookmarkEnd w:id="32"/>
      <w:bookmarkEnd w:id="36"/>
      <w:r>
        <w:lastRenderedPageBreak/>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38"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39" w:name="WG-ST-LT-D1-8RI"/>
      <w:bookmarkEnd w:id="38"/>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0" w:name="WG-ST-LT-D1-4RI"/>
      <w:bookmarkEnd w:id="39"/>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0"/>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1"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1"/>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2"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3" w:name="sec73"/>
      <w:bookmarkEnd w:id="37"/>
      <w:bookmarkEnd w:id="42"/>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4"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4"/>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5"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5"/>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w:t>
      </w:r>
      <w:proofErr w:type="gramStart"/>
      <w:r>
        <w:t>result</w:t>
      </w:r>
      <w:proofErr w:type="gramEnd"/>
      <w:r>
        <w:t xml:space="preserve">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6" w:name="X680f3184f6af5bfe904e031a77b2a37d152ddac"/>
      <w:bookmarkEnd w:id="43"/>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DC30EF"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w:t>
            </w:r>
            <w:r>
              <w:t>12</w:t>
            </w:r>
            <w:r>
              <w:t>)</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47"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48" w:name="EP_d1_4Ri"/>
      <w:bookmarkEnd w:id="47"/>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48"/>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49"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0" w:name="EPVP_VEL_d1_4Ri"/>
      <w:bookmarkEnd w:id="49"/>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0"/>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1"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2" w:name="EPVP_EL_VEL_d1_4Ri"/>
      <w:bookmarkEnd w:id="51"/>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2"/>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3" w:name="conclusions"/>
      <w:bookmarkEnd w:id="31"/>
      <w:bookmarkEnd w:id="46"/>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configuration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3"/>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w:t>
        </w:r>
        <w:r w:rsidR="00637D57" w:rsidRPr="00637D57">
          <w:rPr>
            <w:rStyle w:val="Hyperlink"/>
          </w:rPr>
          <w:t>8</w:t>
        </w:r>
        <w:r w:rsidR="00637D57" w:rsidRPr="00637D57">
          <w:rPr>
            <w:rStyle w:val="Hyperlink"/>
          </w:rPr>
          <w:t>(869)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w:t>
        </w:r>
        <w:r w:rsidRPr="00637D57">
          <w:rPr>
            <w:rStyle w:val="Hyperlink"/>
          </w:rPr>
          <w:t>.</w:t>
        </w:r>
        <w:r w:rsidRPr="00637D57">
          <w:rPr>
            <w:rStyle w:val="Hyperlink"/>
          </w:rPr>
          <w:t>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A53F58">
        <w:t>Num Anal Meth Geomechanics 16</w:t>
      </w:r>
      <w:r w:rsidR="001A12D8" w:rsidRPr="00A53F58">
        <w:t>(9)</w:t>
      </w:r>
      <w:r w:rsidRPr="00A53F58">
        <w:t>:683</w:t>
      </w:r>
      <w:r w:rsidRPr="00A53F58">
        <w:rPr>
          <w:rFonts w:ascii="Aptos" w:hAnsi="Aptos" w:cs="Aptos"/>
        </w:rPr>
        <w:t>–</w:t>
      </w:r>
      <w:r w:rsidRPr="00A53F58">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0D5C3C" w:rsidRDefault="00637D57" w:rsidP="005733E1">
      <w:pPr>
        <w:pStyle w:val="Bibliografia"/>
        <w:rPr>
          <w:lang w:val="pt-BR"/>
        </w:rPr>
      </w:pPr>
      <w:r w:rsidRPr="00637D57">
        <w:rPr>
          <w:lang w:val="pt-BR"/>
        </w:rPr>
        <w:t>Quevedo FPM (2021) Análise computacional das deformações em túneis profundos considerando o acoplamento plasticidade-</w:t>
      </w:r>
      <w:proofErr w:type="spellStart"/>
      <w:r w:rsidRPr="00637D57">
        <w:rPr>
          <w:lang w:val="pt-BR"/>
        </w:rPr>
        <w:t>viscoplasticidade</w:t>
      </w:r>
      <w:proofErr w:type="spellEnd"/>
      <w:r w:rsidRPr="00637D57">
        <w:rPr>
          <w:lang w:val="pt-BR"/>
        </w:rPr>
        <w:t xml:space="preserv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w:t>
        </w:r>
        <w:r w:rsidRPr="0087353A">
          <w:rPr>
            <w:rStyle w:val="Hyperlink"/>
          </w:rPr>
          <w:t>1</w:t>
        </w:r>
        <w:r w:rsidRPr="0087353A">
          <w:rPr>
            <w:rStyle w:val="Hyperlink"/>
          </w:rPr>
          <w:t>/(ASCE)GM.1943-5622.0002282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653DEB85" w14:textId="533C8FCF" w:rsidR="008F4BA3" w:rsidRDefault="00AE768F" w:rsidP="008F4BA3">
      <w:pPr>
        <w:pStyle w:val="Ttulo1"/>
      </w:pPr>
      <w:bookmarkStart w:id="54" w:name="data-availability"/>
      <w:r>
        <w:t>Statements &amp; Declarations</w:t>
      </w:r>
    </w:p>
    <w:bookmarkEnd w:id="54"/>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t>
      </w:r>
      <w:r w:rsidR="00C313B0">
        <w:lastRenderedPageBreak/>
        <w:t xml:space="preserve">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D8AFB" w14:textId="77777777" w:rsidR="001446C1" w:rsidRDefault="001446C1">
      <w:pPr>
        <w:spacing w:after="0"/>
      </w:pPr>
      <w:r>
        <w:separator/>
      </w:r>
    </w:p>
  </w:endnote>
  <w:endnote w:type="continuationSeparator" w:id="0">
    <w:p w14:paraId="31AC5945" w14:textId="77777777" w:rsidR="001446C1" w:rsidRDefault="001446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BC6566" w14:textId="77777777" w:rsidR="001446C1" w:rsidRDefault="001446C1">
      <w:pPr>
        <w:spacing w:after="0"/>
      </w:pPr>
      <w:r>
        <w:separator/>
      </w:r>
    </w:p>
  </w:footnote>
  <w:footnote w:type="continuationSeparator" w:id="0">
    <w:p w14:paraId="0C109904" w14:textId="77777777" w:rsidR="001446C1" w:rsidRDefault="001446C1">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479D1"/>
    <w:rsid w:val="00054B78"/>
    <w:rsid w:val="00066D79"/>
    <w:rsid w:val="0007452D"/>
    <w:rsid w:val="00091717"/>
    <w:rsid w:val="00093F6D"/>
    <w:rsid w:val="00096328"/>
    <w:rsid w:val="000C0390"/>
    <w:rsid w:val="000D1DC5"/>
    <w:rsid w:val="000D5C3C"/>
    <w:rsid w:val="000D6B35"/>
    <w:rsid w:val="000E1C25"/>
    <w:rsid w:val="000E4BA5"/>
    <w:rsid w:val="000E60AF"/>
    <w:rsid w:val="000F5556"/>
    <w:rsid w:val="001001DB"/>
    <w:rsid w:val="00107B8F"/>
    <w:rsid w:val="001112CE"/>
    <w:rsid w:val="00126430"/>
    <w:rsid w:val="00135FFB"/>
    <w:rsid w:val="001446C1"/>
    <w:rsid w:val="00151720"/>
    <w:rsid w:val="0016445A"/>
    <w:rsid w:val="00164576"/>
    <w:rsid w:val="00167C7E"/>
    <w:rsid w:val="00170AA3"/>
    <w:rsid w:val="00172BA8"/>
    <w:rsid w:val="001808F3"/>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B3AF1"/>
    <w:rsid w:val="003C2FC3"/>
    <w:rsid w:val="003C5D7D"/>
    <w:rsid w:val="003C7F0D"/>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B0594"/>
    <w:rsid w:val="004B50E3"/>
    <w:rsid w:val="004C0B18"/>
    <w:rsid w:val="00502B04"/>
    <w:rsid w:val="00505824"/>
    <w:rsid w:val="005139CC"/>
    <w:rsid w:val="005331BF"/>
    <w:rsid w:val="00533DF9"/>
    <w:rsid w:val="0053566B"/>
    <w:rsid w:val="00553B61"/>
    <w:rsid w:val="00556A0D"/>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3063"/>
    <w:rsid w:val="00623A16"/>
    <w:rsid w:val="00634A93"/>
    <w:rsid w:val="00637D57"/>
    <w:rsid w:val="0064598E"/>
    <w:rsid w:val="00646E95"/>
    <w:rsid w:val="00647F8A"/>
    <w:rsid w:val="006557A5"/>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739A0"/>
    <w:rsid w:val="00793B3D"/>
    <w:rsid w:val="007973C9"/>
    <w:rsid w:val="007A16F4"/>
    <w:rsid w:val="007B1C8A"/>
    <w:rsid w:val="007B2062"/>
    <w:rsid w:val="007C7FEB"/>
    <w:rsid w:val="007D17E1"/>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13F92"/>
    <w:rsid w:val="00927498"/>
    <w:rsid w:val="00952632"/>
    <w:rsid w:val="00973BA3"/>
    <w:rsid w:val="009761E1"/>
    <w:rsid w:val="00980E83"/>
    <w:rsid w:val="009910B3"/>
    <w:rsid w:val="00991CEE"/>
    <w:rsid w:val="0099381E"/>
    <w:rsid w:val="009957FE"/>
    <w:rsid w:val="009A39E1"/>
    <w:rsid w:val="009C4A7E"/>
    <w:rsid w:val="009F6E27"/>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82E49"/>
    <w:rsid w:val="00D922F8"/>
    <w:rsid w:val="00D92CEC"/>
    <w:rsid w:val="00DA111C"/>
    <w:rsid w:val="00DA49B4"/>
    <w:rsid w:val="00DA5BFF"/>
    <w:rsid w:val="00DB0460"/>
    <w:rsid w:val="00DB1148"/>
    <w:rsid w:val="00DC30EF"/>
    <w:rsid w:val="00DC6B58"/>
    <w:rsid w:val="00E0528E"/>
    <w:rsid w:val="00E07388"/>
    <w:rsid w:val="00E171EB"/>
    <w:rsid w:val="00E22EA1"/>
    <w:rsid w:val="00E40D41"/>
    <w:rsid w:val="00E42A2B"/>
    <w:rsid w:val="00E60171"/>
    <w:rsid w:val="00E7083C"/>
    <w:rsid w:val="00E82BBE"/>
    <w:rsid w:val="00E83A11"/>
    <w:rsid w:val="00E96A11"/>
    <w:rsid w:val="00EA747C"/>
    <w:rsid w:val="00EA7A84"/>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A2702"/>
    <w:rsid w:val="00FA5CBF"/>
    <w:rsid w:val="00FD51A3"/>
    <w:rsid w:val="00FE035C"/>
    <w:rsid w:val="00FE0B2D"/>
    <w:rsid w:val="00FE16D9"/>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41</Pages>
  <Words>15411</Words>
  <Characters>83223</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110</cp:revision>
  <cp:lastPrinted>2024-09-30T13:58:00Z</cp:lastPrinted>
  <dcterms:created xsi:type="dcterms:W3CDTF">2024-09-30T13:22:00Z</dcterms:created>
  <dcterms:modified xsi:type="dcterms:W3CDTF">2024-09-30T15:19:00Z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